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Инструкция администратора Synapse v3</w:t>
      </w:r>
    </w:p>
    <w:p>
      <w:r>
        <w:t>Актуально на: 2026-02-25 12:29 UTC</w:t>
      </w:r>
    </w:p>
    <w:p>
      <w:pPr>
        <w:pStyle w:val="Heading1"/>
      </w:pPr>
      <w:r>
        <w:t>Скрин 1: Вход в систему</w:t>
      </w:r>
    </w:p>
    <w:p>
      <w:r>
        <w:drawing>
          <wp:inline xmlns:a="http://schemas.openxmlformats.org/drawingml/2006/main" xmlns:pic="http://schemas.openxmlformats.org/drawingml/2006/picture">
            <wp:extent cx="6400800" cy="92011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-login-mod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01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Скрин 2: Рабочая панель</w:t>
      </w:r>
    </w:p>
    <w:p>
      <w:r>
        <w:drawing>
          <wp:inline xmlns:a="http://schemas.openxmlformats.org/drawingml/2006/main" xmlns:pic="http://schemas.openxmlformats.org/drawingml/2006/picture">
            <wp:extent cx="6400800" cy="1328558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-users-dashboard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2855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Скрин 3: Вкладка Безопасность</w:t>
      </w:r>
    </w:p>
    <w:p>
      <w:r>
        <w:drawing>
          <wp:inline xmlns:a="http://schemas.openxmlformats.org/drawingml/2006/main" xmlns:pic="http://schemas.openxmlformats.org/drawingml/2006/picture">
            <wp:extent cx="6400800" cy="1328558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-security-dashboar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2855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Скрин 4: Инструкция в веб-админке</w:t>
      </w:r>
    </w:p>
    <w:p>
      <w:r>
        <w:drawing>
          <wp:inline xmlns:a="http://schemas.openxmlformats.org/drawingml/2006/main" xmlns:pic="http://schemas.openxmlformats.org/drawingml/2006/picture">
            <wp:extent cx="6400800" cy="1328558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-guide-overlay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2855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SLA и действия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>
            <w:r>
              <w:t>Ситуация</w:t>
            </w:r>
          </w:p>
        </w:tc>
        <w:tc>
          <w:tcPr>
            <w:tcW w:type="dxa" w:w="2880"/>
          </w:tcPr>
          <w:p>
            <w:r>
              <w:t>Действие</w:t>
            </w:r>
          </w:p>
        </w:tc>
        <w:tc>
          <w:tcPr>
            <w:tcW w:type="dxa" w:w="2880"/>
          </w:tcPr>
          <w:p>
            <w:r>
              <w:t>SLA</w:t>
            </w:r>
          </w:p>
        </w:tc>
      </w:tr>
      <w:tr>
        <w:tc>
          <w:tcPr>
            <w:tcW w:type="dxa" w:w="2880"/>
          </w:tcPr>
          <w:p>
            <w:r>
              <w:t>High алерт</w:t>
            </w:r>
          </w:p>
        </w:tc>
        <w:tc>
          <w:tcPr>
            <w:tcW w:type="dxa" w:w="2880"/>
          </w:tcPr>
          <w:p>
            <w:r>
              <w:t>Подтвердить/снять, комментарий, эскалация</w:t>
            </w:r>
          </w:p>
        </w:tc>
        <w:tc>
          <w:tcPr>
            <w:tcW w:type="dxa" w:w="2880"/>
          </w:tcPr>
          <w:p>
            <w:r>
              <w:t>до 15 минут</w:t>
            </w:r>
          </w:p>
        </w:tc>
      </w:tr>
      <w:tr>
        <w:tc>
          <w:tcPr>
            <w:tcW w:type="dxa" w:w="2880"/>
          </w:tcPr>
          <w:p>
            <w:r>
              <w:t>Ошибка backup test</w:t>
            </w:r>
          </w:p>
        </w:tc>
        <w:tc>
          <w:tcPr>
            <w:tcW w:type="dxa" w:w="2880"/>
          </w:tcPr>
          <w:p>
            <w:r>
              <w:t>Перезапуск + проверка действий</w:t>
            </w:r>
          </w:p>
        </w:tc>
        <w:tc>
          <w:tcPr>
            <w:tcW w:type="dxa" w:w="2880"/>
          </w:tcPr>
          <w:p>
            <w:r>
              <w:t>до 30 минут</w:t>
            </w:r>
          </w:p>
        </w:tc>
      </w:tr>
      <w:tr>
        <w:tc>
          <w:tcPr>
            <w:tcW w:type="dxa" w:w="2880"/>
          </w:tcPr>
          <w:p>
            <w:r>
              <w:t>Ошибка mobile smoke</w:t>
            </w:r>
          </w:p>
        </w:tc>
        <w:tc>
          <w:tcPr>
            <w:tcW w:type="dxa" w:w="2880"/>
          </w:tcPr>
          <w:p>
            <w:r>
              <w:t>Сохранить, проверить readiness</w:t>
            </w:r>
          </w:p>
        </w:tc>
        <w:tc>
          <w:tcPr>
            <w:tcW w:type="dxa" w:w="2880"/>
          </w:tcPr>
          <w:p>
            <w:r>
              <w:t>до 30 минут</w:t>
            </w:r>
          </w:p>
        </w:tc>
      </w:tr>
      <w:tr>
        <w:tc>
          <w:tcPr>
            <w:tcW w:type="dxa" w:w="2880"/>
          </w:tcPr>
          <w:p>
            <w:r>
              <w:t>UI не отвечает</w:t>
            </w:r>
          </w:p>
        </w:tc>
        <w:tc>
          <w:tcPr>
            <w:tcW w:type="dxa" w:w="2880"/>
          </w:tcPr>
          <w:p>
            <w:r>
              <w:t>Ctrl+F5, вход заново</w:t>
            </w:r>
          </w:p>
        </w:tc>
        <w:tc>
          <w:tcPr>
            <w:tcW w:type="dxa" w:w="2880"/>
          </w:tcPr>
          <w:p>
            <w:r>
              <w:t>до 10 минут</w:t>
            </w:r>
          </w:p>
        </w:tc>
      </w:tr>
    </w:tbl>
    <w:p>
      <w:pPr>
        <w:pStyle w:val="Heading1"/>
      </w:pPr>
      <w:r>
        <w:t>Чеклист передачи смены</w:t>
      </w:r>
    </w:p>
    <w:p>
      <w:pPr>
        <w:pStyle w:val="ListBullet"/>
      </w:pPr>
      <w:r>
        <w:t>Обработаны high-алерты</w:t>
      </w:r>
    </w:p>
    <w:p>
      <w:pPr>
        <w:pStyle w:val="ListBullet"/>
      </w:pPr>
      <w:r>
        <w:t>Проверен статус теста восстановления</w:t>
      </w:r>
    </w:p>
    <w:p>
      <w:pPr>
        <w:pStyle w:val="ListBullet"/>
      </w:pPr>
      <w:r>
        <w:t>Проверены mobile/content readiness</w:t>
      </w:r>
    </w:p>
    <w:p>
      <w:pPr>
        <w:pStyle w:val="ListBullet"/>
      </w:pPr>
      <w:r>
        <w:t>Выгружен отчет при отклонениях</w:t>
      </w:r>
    </w:p>
    <w:p>
      <w:pPr>
        <w:pStyle w:val="ListBullet"/>
      </w:pPr>
      <w:r>
        <w:t>Передан комментарий следующей смене</w:t>
      </w:r>
    </w:p>
    <w:p>
      <w:pPr>
        <w:pStyle w:val="ListBullet"/>
      </w:pPr>
      <w:r>
        <w:t>Выполнен выход из системы</w:t>
      </w:r>
    </w:p>
    <w:p>
      <w:pPr>
        <w:pStyle w:val="Heading1"/>
      </w:pPr>
      <w:r>
        <w:t>Подписи передачи смены</w:t>
      </w:r>
    </w:p>
    <w:p>
      <w:r>
        <w:t>Сдающий смену: ____________________</w:t>
      </w:r>
    </w:p>
    <w:p>
      <w:r>
        <w:t>Принимающий смену: ____________________</w:t>
      </w:r>
    </w:p>
    <w:p>
      <w:r>
        <w:t>Время передачи: ____________________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